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D1" w:rsidRDefault="00D1261A">
      <w:pPr>
        <w:pStyle w:val="LO-normal"/>
      </w:pPr>
      <w:proofErr w:type="spellStart"/>
      <w:r>
        <w:rPr>
          <w:b/>
        </w:rPr>
        <w:t>Табела</w:t>
      </w:r>
      <w:proofErr w:type="spellEnd"/>
      <w:r>
        <w:rPr>
          <w:b/>
        </w:rPr>
        <w:t xml:space="preserve"> 5.2 </w:t>
      </w:r>
      <w:proofErr w:type="spellStart"/>
      <w:proofErr w:type="gramStart"/>
      <w:r>
        <w:t>Спецификација</w:t>
      </w:r>
      <w:proofErr w:type="spellEnd"/>
      <w:r>
        <w:t xml:space="preserve">  </w:t>
      </w:r>
      <w:proofErr w:type="spellStart"/>
      <w:r>
        <w:t>предмета</w:t>
      </w:r>
      <w:proofErr w:type="spellEnd"/>
      <w:proofErr w:type="gramEnd"/>
    </w:p>
    <w:p w:rsidR="00E221D1" w:rsidRDefault="00E221D1">
      <w:pPr>
        <w:pStyle w:val="LO-normal"/>
        <w:rPr>
          <w:sz w:val="16"/>
          <w:szCs w:val="16"/>
        </w:rPr>
      </w:pPr>
    </w:p>
    <w:p w:rsidR="00E221D1" w:rsidRDefault="00E221D1">
      <w:pPr>
        <w:pStyle w:val="LO-normal"/>
        <w:rPr>
          <w:sz w:val="16"/>
          <w:szCs w:val="16"/>
        </w:rPr>
      </w:pPr>
    </w:p>
    <w:tbl>
      <w:tblPr>
        <w:tblW w:w="9613" w:type="dxa"/>
        <w:jc w:val="center"/>
        <w:tblLook w:val="0000" w:firstRow="0" w:lastRow="0" w:firstColumn="0" w:lastColumn="0" w:noHBand="0" w:noVBand="0"/>
      </w:tblPr>
      <w:tblGrid>
        <w:gridCol w:w="3143"/>
        <w:gridCol w:w="1368"/>
        <w:gridCol w:w="993"/>
        <w:gridCol w:w="2819"/>
        <w:gridCol w:w="1290"/>
      </w:tblGrid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Студијски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</w:t>
            </w:r>
            <w:proofErr w:type="spellEnd"/>
            <w:r>
              <w:rPr>
                <w:b/>
              </w:rPr>
              <w:t xml:space="preserve">: </w:t>
            </w:r>
            <w:r w:rsidR="00136141">
              <w:rPr>
                <w:bCs/>
                <w:lang w:val="sr-Cyrl-RS"/>
              </w:rPr>
              <w:t>Мастер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академске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студије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историје</w:t>
            </w:r>
            <w:proofErr w:type="spellEnd"/>
          </w:p>
        </w:tc>
      </w:tr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Назив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Педагошка</w:t>
            </w:r>
            <w:proofErr w:type="spellEnd"/>
            <w:r>
              <w:t xml:space="preserve"> </w:t>
            </w:r>
            <w:proofErr w:type="spellStart"/>
            <w:r>
              <w:t>пракса</w:t>
            </w:r>
            <w:proofErr w:type="spellEnd"/>
            <w:r w:rsidR="007262F5">
              <w:rPr>
                <w:lang w:val="sr-Cyrl-RS"/>
              </w:rPr>
              <w:t xml:space="preserve"> мастер</w:t>
            </w:r>
            <w:r>
              <w:t xml:space="preserve"> 1 </w:t>
            </w:r>
          </w:p>
        </w:tc>
      </w:tr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Статус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Обавезни</w:t>
            </w:r>
            <w:proofErr w:type="spellEnd"/>
          </w:p>
        </w:tc>
      </w:tr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ЕСПБ: </w:t>
            </w:r>
            <w:r>
              <w:t>3</w:t>
            </w:r>
          </w:p>
        </w:tc>
      </w:tr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Pr="007262F5" w:rsidRDefault="00D1261A">
            <w:pPr>
              <w:tabs>
                <w:tab w:val="left" w:pos="567"/>
              </w:tabs>
              <w:ind w:hanging="2"/>
              <w:rPr>
                <w:lang w:val="sr-Cyrl-RS"/>
              </w:rPr>
            </w:pPr>
            <w:proofErr w:type="spellStart"/>
            <w:r>
              <w:rPr>
                <w:b/>
              </w:rPr>
              <w:t>Услов</w:t>
            </w:r>
            <w:proofErr w:type="spellEnd"/>
            <w:r>
              <w:rPr>
                <w:b/>
              </w:rPr>
              <w:t xml:space="preserve">: </w:t>
            </w:r>
            <w:r w:rsidR="007262F5">
              <w:rPr>
                <w:lang w:val="sr-Cyrl-RS"/>
              </w:rPr>
              <w:t>Нема</w:t>
            </w:r>
          </w:p>
        </w:tc>
      </w:tr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  <w:jc w:val="both"/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</w:p>
          <w:p w:rsidR="00E221D1" w:rsidRDefault="00D1261A">
            <w:pPr>
              <w:tabs>
                <w:tab w:val="left" w:pos="567"/>
              </w:tabs>
              <w:ind w:hanging="2"/>
              <w:jc w:val="both"/>
            </w:pPr>
            <w:proofErr w:type="spellStart"/>
            <w:r>
              <w:t>Циљ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i/>
              </w:rPr>
              <w:t>Педагошке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праксе</w:t>
            </w:r>
            <w:proofErr w:type="spellEnd"/>
            <w:r>
              <w:rPr>
                <w:i/>
              </w:rPr>
              <w:t xml:space="preserve"> 1</w:t>
            </w:r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студенти</w:t>
            </w:r>
            <w:proofErr w:type="spellEnd"/>
            <w:r>
              <w:t xml:space="preserve"> </w:t>
            </w:r>
            <w:proofErr w:type="spellStart"/>
            <w:r>
              <w:t>упознају</w:t>
            </w:r>
            <w:proofErr w:type="spellEnd"/>
            <w:r>
              <w:t xml:space="preserve"> </w:t>
            </w:r>
            <w:proofErr w:type="spellStart"/>
            <w:r>
              <w:t>систем</w:t>
            </w:r>
            <w:proofErr w:type="spellEnd"/>
            <w:r>
              <w:t xml:space="preserve"> </w:t>
            </w:r>
            <w:proofErr w:type="spellStart"/>
            <w:r>
              <w:t>васпитања</w:t>
            </w:r>
            <w:proofErr w:type="spellEnd"/>
            <w:r>
              <w:t xml:space="preserve">, </w:t>
            </w:r>
            <w:proofErr w:type="spellStart"/>
            <w:r>
              <w:t>функционисање</w:t>
            </w:r>
            <w:proofErr w:type="spellEnd"/>
            <w:r>
              <w:t xml:space="preserve"> и </w:t>
            </w:r>
            <w:proofErr w:type="spellStart"/>
            <w:r>
              <w:t>структуру</w:t>
            </w:r>
            <w:proofErr w:type="spellEnd"/>
            <w:r>
              <w:t xml:space="preserve"> </w:t>
            </w:r>
            <w:proofErr w:type="spellStart"/>
            <w:r>
              <w:t>образовно-васпитних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, </w:t>
            </w:r>
            <w:proofErr w:type="spellStart"/>
            <w:r>
              <w:t>стручне</w:t>
            </w:r>
            <w:proofErr w:type="spellEnd"/>
            <w:r>
              <w:t xml:space="preserve"> и </w:t>
            </w:r>
            <w:proofErr w:type="spellStart"/>
            <w:r>
              <w:t>руководеће</w:t>
            </w:r>
            <w:proofErr w:type="spellEnd"/>
            <w:r>
              <w:t xml:space="preserve"> </w:t>
            </w:r>
            <w:proofErr w:type="spellStart"/>
            <w:r>
              <w:t>органе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, </w:t>
            </w:r>
            <w:proofErr w:type="spellStart"/>
            <w:r>
              <w:t>њихове</w:t>
            </w:r>
            <w:proofErr w:type="spellEnd"/>
            <w:r>
              <w:t xml:space="preserve"> </w:t>
            </w:r>
            <w:proofErr w:type="spellStart"/>
            <w:r>
              <w:t>надлежности</w:t>
            </w:r>
            <w:proofErr w:type="spellEnd"/>
            <w:r>
              <w:t xml:space="preserve">, </w:t>
            </w:r>
            <w:proofErr w:type="spellStart"/>
            <w:r>
              <w:t>годишњи</w:t>
            </w:r>
            <w:proofErr w:type="spellEnd"/>
            <w:r>
              <w:t xml:space="preserve"> </w:t>
            </w:r>
            <w:proofErr w:type="spellStart"/>
            <w:r>
              <w:t>план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, </w:t>
            </w:r>
            <w:proofErr w:type="spellStart"/>
            <w:r>
              <w:t>развојно</w:t>
            </w:r>
            <w:proofErr w:type="spellEnd"/>
            <w:r>
              <w:t xml:space="preserve"> и </w:t>
            </w:r>
            <w:proofErr w:type="spellStart"/>
            <w:r>
              <w:t>акционо</w:t>
            </w:r>
            <w:proofErr w:type="spellEnd"/>
            <w:r>
              <w:t xml:space="preserve"> </w:t>
            </w:r>
            <w:proofErr w:type="spellStart"/>
            <w:r>
              <w:t>планирање</w:t>
            </w:r>
            <w:proofErr w:type="spellEnd"/>
            <w:r>
              <w:t xml:space="preserve">, </w:t>
            </w:r>
            <w:proofErr w:type="spellStart"/>
            <w:r>
              <w:t>процес</w:t>
            </w:r>
            <w:proofErr w:type="spellEnd"/>
            <w:r>
              <w:t xml:space="preserve"> </w:t>
            </w:r>
            <w:proofErr w:type="spellStart"/>
            <w:r>
              <w:t>евалуације</w:t>
            </w:r>
            <w:proofErr w:type="spellEnd"/>
            <w:r>
              <w:t xml:space="preserve"> и </w:t>
            </w:r>
            <w:proofErr w:type="spellStart"/>
            <w:r>
              <w:t>самовредновања</w:t>
            </w:r>
            <w:proofErr w:type="spellEnd"/>
            <w:r>
              <w:t xml:space="preserve">, и </w:t>
            </w:r>
            <w:proofErr w:type="spellStart"/>
            <w:r>
              <w:t>сл</w:t>
            </w:r>
            <w:proofErr w:type="spellEnd"/>
            <w:r>
              <w:t xml:space="preserve">. </w:t>
            </w:r>
            <w:proofErr w:type="spellStart"/>
            <w:r>
              <w:t>Циљ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  <w:r>
              <w:t xml:space="preserve"> </w:t>
            </w:r>
            <w:proofErr w:type="spellStart"/>
            <w:r>
              <w:t>усмерен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и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стицање</w:t>
            </w:r>
            <w:proofErr w:type="spellEnd"/>
            <w:r>
              <w:t xml:space="preserve"> </w:t>
            </w:r>
            <w:proofErr w:type="spellStart"/>
            <w:r>
              <w:t>целовитих</w:t>
            </w:r>
            <w:proofErr w:type="spellEnd"/>
            <w:r>
              <w:t xml:space="preserve"> и </w:t>
            </w:r>
            <w:proofErr w:type="spellStart"/>
            <w:r>
              <w:t>функционалних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о </w:t>
            </w:r>
            <w:proofErr w:type="spellStart"/>
            <w:r>
              <w:t>наставничкој</w:t>
            </w:r>
            <w:proofErr w:type="spellEnd"/>
            <w:r>
              <w:t xml:space="preserve"> </w:t>
            </w:r>
            <w:proofErr w:type="spellStart"/>
            <w:r>
              <w:t>професији</w:t>
            </w:r>
            <w:proofErr w:type="spellEnd"/>
            <w:r>
              <w:t xml:space="preserve"> и </w:t>
            </w:r>
            <w:proofErr w:type="spellStart"/>
            <w:r>
              <w:t>њеном</w:t>
            </w:r>
            <w:proofErr w:type="spellEnd"/>
            <w:r>
              <w:t xml:space="preserve"> </w:t>
            </w:r>
            <w:proofErr w:type="spellStart"/>
            <w:r>
              <w:t>повезивању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непосредном</w:t>
            </w:r>
            <w:proofErr w:type="spellEnd"/>
            <w:r>
              <w:t xml:space="preserve"> </w:t>
            </w:r>
            <w:proofErr w:type="spellStart"/>
            <w:r>
              <w:t>школском</w:t>
            </w:r>
            <w:proofErr w:type="spellEnd"/>
            <w:r>
              <w:t xml:space="preserve"> </w:t>
            </w:r>
            <w:proofErr w:type="spellStart"/>
            <w:r>
              <w:t>праксом</w:t>
            </w:r>
            <w:proofErr w:type="spellEnd"/>
            <w:r>
              <w:t>.</w:t>
            </w:r>
          </w:p>
        </w:tc>
      </w:tr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Исход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</w:p>
          <w:p w:rsidR="00E221D1" w:rsidRDefault="00D1261A">
            <w:pPr>
              <w:widowControl/>
              <w:jc w:val="both"/>
            </w:pPr>
            <w:proofErr w:type="spellStart"/>
            <w:r>
              <w:rPr>
                <w:color w:val="000000"/>
              </w:rPr>
              <w:t>Проширивање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основних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педагошких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знања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школи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образовно-васпитној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институцији</w:t>
            </w:r>
            <w:proofErr w:type="spellEnd"/>
            <w:r>
              <w:rPr>
                <w:color w:val="000000"/>
              </w:rPr>
              <w:t>;</w:t>
            </w:r>
          </w:p>
          <w:p w:rsidR="00E221D1" w:rsidRDefault="00D1261A">
            <w:pPr>
              <w:widowControl/>
              <w:jc w:val="both"/>
            </w:pPr>
            <w:proofErr w:type="spellStart"/>
            <w:r>
              <w:rPr>
                <w:color w:val="000000"/>
              </w:rPr>
              <w:t>Упознавање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особености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структуре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образовно-васпитних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активности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савремене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школе</w:t>
            </w:r>
            <w:proofErr w:type="spellEnd"/>
            <w:r>
              <w:rPr>
                <w:color w:val="000000"/>
              </w:rPr>
              <w:t>;</w:t>
            </w:r>
          </w:p>
          <w:p w:rsidR="00E221D1" w:rsidRDefault="00D1261A">
            <w:pPr>
              <w:widowControl/>
              <w:jc w:val="both"/>
            </w:pPr>
            <w:proofErr w:type="spellStart"/>
            <w:r>
              <w:rPr>
                <w:color w:val="000000"/>
              </w:rPr>
              <w:t>Стицање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општих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знања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професији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наставника</w:t>
            </w:r>
            <w:proofErr w:type="spellEnd"/>
            <w:r>
              <w:rPr>
                <w:color w:val="000000"/>
              </w:rPr>
              <w:t xml:space="preserve"> </w:t>
            </w:r>
            <w:r w:rsidR="007262F5">
              <w:rPr>
                <w:color w:val="000000"/>
                <w:lang w:val="sr-Cyrl-RS"/>
              </w:rPr>
              <w:t>историје</w:t>
            </w:r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њиховој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мултидимензионалности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значају</w:t>
            </w:r>
            <w:proofErr w:type="spellEnd"/>
            <w:r>
              <w:rPr>
                <w:color w:val="000000"/>
              </w:rPr>
              <w:t>;</w:t>
            </w:r>
          </w:p>
          <w:p w:rsidR="00E221D1" w:rsidRDefault="00D1261A">
            <w:pPr>
              <w:widowControl/>
              <w:jc w:val="both"/>
            </w:pPr>
            <w:proofErr w:type="spellStart"/>
            <w:r>
              <w:rPr>
                <w:color w:val="000000"/>
              </w:rPr>
              <w:t>Увођење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основне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професионалне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компетенције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наставника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неопходне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успешан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савременој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школи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Садржај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педагошке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стручне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праксе</w:t>
            </w:r>
            <w:proofErr w:type="spellEnd"/>
          </w:p>
          <w:p w:rsidR="00E221D1" w:rsidRDefault="00D1261A">
            <w:pPr>
              <w:tabs>
                <w:tab w:val="left" w:pos="567"/>
              </w:tabs>
              <w:ind w:hanging="2"/>
              <w:jc w:val="both"/>
            </w:pPr>
            <w:proofErr w:type="spellStart"/>
            <w:r>
              <w:t>Упознавање</w:t>
            </w:r>
            <w:proofErr w:type="spellEnd"/>
            <w:r>
              <w:t xml:space="preserve"> </w:t>
            </w:r>
            <w:proofErr w:type="spellStart"/>
            <w:r>
              <w:t>студената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структуром</w:t>
            </w:r>
            <w:proofErr w:type="spellEnd"/>
            <w:r>
              <w:t xml:space="preserve"> </w:t>
            </w:r>
            <w:proofErr w:type="spellStart"/>
            <w:r>
              <w:t>образовно-васпитне</w:t>
            </w:r>
            <w:proofErr w:type="spellEnd"/>
            <w:r>
              <w:t xml:space="preserve"> </w:t>
            </w:r>
            <w:proofErr w:type="spellStart"/>
            <w:r>
              <w:t>делатности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,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свим</w:t>
            </w:r>
            <w:proofErr w:type="spellEnd"/>
            <w:r>
              <w:t xml:space="preserve"> </w:t>
            </w:r>
            <w:proofErr w:type="spellStart"/>
            <w:r>
              <w:t>активностима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у </w:t>
            </w:r>
            <w:proofErr w:type="spellStart"/>
            <w:r>
              <w:t>школи</w:t>
            </w:r>
            <w:proofErr w:type="spellEnd"/>
            <w:r>
              <w:t xml:space="preserve"> </w:t>
            </w:r>
            <w:proofErr w:type="spellStart"/>
            <w:r>
              <w:t>реализују</w:t>
            </w:r>
            <w:proofErr w:type="spellEnd"/>
            <w:r>
              <w:t xml:space="preserve"> у </w:t>
            </w:r>
            <w:proofErr w:type="spellStart"/>
            <w:r>
              <w:t>оквиру</w:t>
            </w:r>
            <w:proofErr w:type="spellEnd"/>
            <w:r>
              <w:t xml:space="preserve"> </w:t>
            </w:r>
            <w:proofErr w:type="spellStart"/>
            <w:r>
              <w:t>следећих</w:t>
            </w:r>
            <w:proofErr w:type="spellEnd"/>
            <w:r>
              <w:t xml:space="preserve"> </w:t>
            </w:r>
            <w:proofErr w:type="spellStart"/>
            <w:r>
              <w:t>домена</w:t>
            </w:r>
            <w:proofErr w:type="spellEnd"/>
            <w:r>
              <w:t xml:space="preserve">: </w:t>
            </w:r>
          </w:p>
          <w:p w:rsidR="00E221D1" w:rsidRDefault="00D1261A">
            <w:pPr>
              <w:tabs>
                <w:tab w:val="left" w:pos="567"/>
              </w:tabs>
              <w:ind w:hanging="2"/>
              <w:jc w:val="both"/>
            </w:pPr>
            <w:r>
              <w:rPr>
                <w:b/>
                <w:bCs/>
              </w:rPr>
              <w:t>1.</w:t>
            </w:r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 xml:space="preserve"> и </w:t>
            </w:r>
            <w:proofErr w:type="spellStart"/>
            <w:r>
              <w:t>активности</w:t>
            </w:r>
            <w:proofErr w:type="spellEnd"/>
            <w:r>
              <w:t xml:space="preserve"> у </w:t>
            </w:r>
            <w:proofErr w:type="spellStart"/>
            <w:r>
              <w:t>директној</w:t>
            </w:r>
            <w:proofErr w:type="spellEnd"/>
            <w:r>
              <w:t xml:space="preserve"> </w:t>
            </w:r>
            <w:proofErr w:type="spellStart"/>
            <w:r>
              <w:t>вези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наставом</w:t>
            </w:r>
            <w:proofErr w:type="spellEnd"/>
            <w:r>
              <w:t xml:space="preserve">: а) </w:t>
            </w:r>
            <w:proofErr w:type="spellStart"/>
            <w:r>
              <w:t>обавезне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обухватају</w:t>
            </w:r>
            <w:proofErr w:type="spellEnd"/>
            <w:r>
              <w:t xml:space="preserve"> </w:t>
            </w:r>
            <w:proofErr w:type="spellStart"/>
            <w:r>
              <w:t>редовну</w:t>
            </w:r>
            <w:proofErr w:type="spellEnd"/>
            <w:r>
              <w:t xml:space="preserve">, </w:t>
            </w:r>
            <w:proofErr w:type="spellStart"/>
            <w:r>
              <w:t>допунску</w:t>
            </w:r>
            <w:proofErr w:type="spellEnd"/>
            <w:r>
              <w:t xml:space="preserve">, </w:t>
            </w:r>
            <w:proofErr w:type="spellStart"/>
            <w:r>
              <w:t>додатну</w:t>
            </w:r>
            <w:proofErr w:type="spellEnd"/>
            <w:r>
              <w:t xml:space="preserve">, </w:t>
            </w:r>
            <w:proofErr w:type="spellStart"/>
            <w:r>
              <w:t>припремну</w:t>
            </w:r>
            <w:proofErr w:type="spellEnd"/>
            <w:r>
              <w:t xml:space="preserve">, </w:t>
            </w:r>
            <w:proofErr w:type="spellStart"/>
            <w:r>
              <w:t>продужну</w:t>
            </w:r>
            <w:proofErr w:type="spellEnd"/>
            <w:r>
              <w:t xml:space="preserve"> </w:t>
            </w:r>
            <w:proofErr w:type="spellStart"/>
            <w:r>
              <w:t>наставу</w:t>
            </w:r>
            <w:proofErr w:type="spellEnd"/>
            <w:r>
              <w:t xml:space="preserve"> и </w:t>
            </w:r>
            <w:proofErr w:type="spellStart"/>
            <w:r>
              <w:t>школу</w:t>
            </w:r>
            <w:proofErr w:type="spellEnd"/>
            <w:r>
              <w:t xml:space="preserve"> и </w:t>
            </w:r>
            <w:proofErr w:type="spellStart"/>
            <w:r>
              <w:t>природи</w:t>
            </w:r>
            <w:proofErr w:type="spellEnd"/>
            <w:r>
              <w:t xml:space="preserve">; б) </w:t>
            </w:r>
            <w:proofErr w:type="spellStart"/>
            <w:r>
              <w:t>изборне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(</w:t>
            </w:r>
            <w:proofErr w:type="spellStart"/>
            <w:r>
              <w:t>настава</w:t>
            </w:r>
            <w:proofErr w:type="spellEnd"/>
            <w:r>
              <w:t xml:space="preserve">); в) </w:t>
            </w:r>
            <w:proofErr w:type="spellStart"/>
            <w:r>
              <w:t>факултативне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обухватају</w:t>
            </w:r>
            <w:proofErr w:type="spellEnd"/>
            <w:r>
              <w:t xml:space="preserve"> </w:t>
            </w:r>
            <w:proofErr w:type="spellStart"/>
            <w:r>
              <w:t>факултативне</w:t>
            </w:r>
            <w:proofErr w:type="spellEnd"/>
            <w:r>
              <w:t xml:space="preserve"> </w:t>
            </w:r>
            <w:proofErr w:type="spellStart"/>
            <w:r>
              <w:t>наставне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и </w:t>
            </w:r>
            <w:proofErr w:type="spellStart"/>
            <w:r>
              <w:t>ваннаставне</w:t>
            </w:r>
            <w:proofErr w:type="spellEnd"/>
            <w:r>
              <w:t xml:space="preserve"> (</w:t>
            </w:r>
            <w:proofErr w:type="spellStart"/>
            <w:r>
              <w:t>слободне</w:t>
            </w:r>
            <w:proofErr w:type="spellEnd"/>
            <w:r>
              <w:t xml:space="preserve">) </w:t>
            </w:r>
            <w:proofErr w:type="spellStart"/>
            <w:r>
              <w:t>активности</w:t>
            </w:r>
            <w:proofErr w:type="spellEnd"/>
            <w:r>
              <w:t>.</w:t>
            </w:r>
          </w:p>
          <w:p w:rsidR="00E221D1" w:rsidRDefault="00D1261A">
            <w:pPr>
              <w:tabs>
                <w:tab w:val="left" w:pos="567"/>
              </w:tabs>
              <w:ind w:hanging="2"/>
              <w:jc w:val="both"/>
            </w:pPr>
            <w:r>
              <w:rPr>
                <w:b/>
                <w:bCs/>
              </w:rPr>
              <w:t>2.</w:t>
            </w:r>
            <w:r>
              <w:t xml:space="preserve"> а) </w:t>
            </w:r>
            <w:proofErr w:type="spellStart"/>
            <w:r>
              <w:t>друштвено-корисни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; б) </w:t>
            </w:r>
            <w:proofErr w:type="spellStart"/>
            <w:r>
              <w:t>друштвене</w:t>
            </w:r>
            <w:proofErr w:type="spellEnd"/>
            <w:r>
              <w:t xml:space="preserve"> и </w:t>
            </w:r>
            <w:proofErr w:type="spellStart"/>
            <w:r>
              <w:t>ваншколске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и </w:t>
            </w: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дечјих</w:t>
            </w:r>
            <w:proofErr w:type="spellEnd"/>
            <w:r>
              <w:t xml:space="preserve"> и </w:t>
            </w:r>
            <w:proofErr w:type="spellStart"/>
            <w:r>
              <w:t>омладинских</w:t>
            </w:r>
            <w:proofErr w:type="spellEnd"/>
            <w:r>
              <w:t xml:space="preserve"> </w:t>
            </w:r>
            <w:proofErr w:type="spellStart"/>
            <w:r>
              <w:t>организација</w:t>
            </w:r>
            <w:proofErr w:type="spellEnd"/>
            <w:r>
              <w:t xml:space="preserve">, </w:t>
            </w:r>
            <w:proofErr w:type="spellStart"/>
            <w:r>
              <w:t>друштва</w:t>
            </w:r>
            <w:proofErr w:type="spellEnd"/>
            <w:r>
              <w:t xml:space="preserve"> и </w:t>
            </w:r>
            <w:proofErr w:type="spellStart"/>
            <w:r>
              <w:t>удружења</w:t>
            </w:r>
            <w:proofErr w:type="spellEnd"/>
            <w:r>
              <w:t xml:space="preserve">; в) </w:t>
            </w: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ученичких</w:t>
            </w:r>
            <w:proofErr w:type="spellEnd"/>
            <w:r>
              <w:t xml:space="preserve"> </w:t>
            </w:r>
            <w:proofErr w:type="spellStart"/>
            <w:r>
              <w:t>заједница</w:t>
            </w:r>
            <w:proofErr w:type="spellEnd"/>
            <w:r>
              <w:t xml:space="preserve">; г) </w:t>
            </w:r>
            <w:proofErr w:type="spellStart"/>
            <w:r>
              <w:t>заштита</w:t>
            </w:r>
            <w:proofErr w:type="spellEnd"/>
            <w:r>
              <w:t xml:space="preserve"> и </w:t>
            </w:r>
            <w:proofErr w:type="spellStart"/>
            <w:r>
              <w:t>унапређивање</w:t>
            </w:r>
            <w:proofErr w:type="spellEnd"/>
            <w:r>
              <w:t xml:space="preserve"> </w:t>
            </w:r>
            <w:proofErr w:type="spellStart"/>
            <w:r>
              <w:t>здравља</w:t>
            </w:r>
            <w:proofErr w:type="spellEnd"/>
            <w:r>
              <w:t xml:space="preserve">, </w:t>
            </w:r>
            <w:proofErr w:type="spellStart"/>
            <w:r>
              <w:t>животне</w:t>
            </w:r>
            <w:proofErr w:type="spellEnd"/>
            <w:r>
              <w:t xml:space="preserve"> </w:t>
            </w:r>
            <w:proofErr w:type="spellStart"/>
            <w:r>
              <w:t>средине</w:t>
            </w:r>
            <w:proofErr w:type="spellEnd"/>
            <w:r>
              <w:t xml:space="preserve"> и </w:t>
            </w:r>
            <w:proofErr w:type="spellStart"/>
            <w:r>
              <w:t>хуманих</w:t>
            </w:r>
            <w:proofErr w:type="spellEnd"/>
            <w:r>
              <w:t xml:space="preserve"> </w:t>
            </w:r>
            <w:proofErr w:type="spellStart"/>
            <w:r>
              <w:t>односа</w:t>
            </w:r>
            <w:proofErr w:type="spellEnd"/>
            <w:r>
              <w:t xml:space="preserve"> </w:t>
            </w:r>
            <w:proofErr w:type="spellStart"/>
            <w:r>
              <w:t>међу</w:t>
            </w:r>
            <w:proofErr w:type="spellEnd"/>
            <w:r>
              <w:t xml:space="preserve"> </w:t>
            </w:r>
            <w:proofErr w:type="spellStart"/>
            <w:r>
              <w:t>половима</w:t>
            </w:r>
            <w:proofErr w:type="spellEnd"/>
            <w:r>
              <w:t>.</w:t>
            </w:r>
          </w:p>
          <w:p w:rsidR="00E221D1" w:rsidRDefault="00D1261A">
            <w:pPr>
              <w:tabs>
                <w:tab w:val="left" w:pos="567"/>
              </w:tabs>
              <w:ind w:hanging="2"/>
              <w:jc w:val="both"/>
            </w:pPr>
            <w:r>
              <w:rPr>
                <w:b/>
                <w:bCs/>
              </w:rPr>
              <w:t>3</w:t>
            </w:r>
            <w:r>
              <w:t xml:space="preserve">. а) </w:t>
            </w:r>
            <w:proofErr w:type="spellStart"/>
            <w:r>
              <w:t>културна</w:t>
            </w:r>
            <w:proofErr w:type="spellEnd"/>
            <w:r>
              <w:t xml:space="preserve"> и </w:t>
            </w:r>
            <w:proofErr w:type="spellStart"/>
            <w:r>
              <w:t>јавна</w:t>
            </w:r>
            <w:proofErr w:type="spellEnd"/>
            <w:r>
              <w:t xml:space="preserve"> </w:t>
            </w:r>
            <w:proofErr w:type="spellStart"/>
            <w:r>
              <w:t>делатност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; б) </w:t>
            </w:r>
            <w:proofErr w:type="spellStart"/>
            <w:r>
              <w:t>професионална</w:t>
            </w:r>
            <w:proofErr w:type="spellEnd"/>
            <w:r>
              <w:t xml:space="preserve"> </w:t>
            </w:r>
            <w:proofErr w:type="spellStart"/>
            <w:r>
              <w:t>оријентација</w:t>
            </w:r>
            <w:proofErr w:type="spellEnd"/>
            <w:r>
              <w:t xml:space="preserve">; в) </w:t>
            </w:r>
            <w:proofErr w:type="spellStart"/>
            <w:r>
              <w:t>делатност</w:t>
            </w:r>
            <w:proofErr w:type="spellEnd"/>
            <w:r>
              <w:t xml:space="preserve"> </w:t>
            </w:r>
            <w:proofErr w:type="spellStart"/>
            <w:r>
              <w:t>родитеља</w:t>
            </w:r>
            <w:proofErr w:type="spellEnd"/>
            <w:r>
              <w:t xml:space="preserve"> у </w:t>
            </w:r>
            <w:proofErr w:type="spellStart"/>
            <w:r>
              <w:t>школи</w:t>
            </w:r>
            <w:proofErr w:type="spellEnd"/>
            <w:r>
              <w:t xml:space="preserve"> и </w:t>
            </w:r>
            <w:proofErr w:type="spellStart"/>
            <w:r>
              <w:t>сарадња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родитељима</w:t>
            </w:r>
            <w:proofErr w:type="spellEnd"/>
            <w:r>
              <w:t>.</w:t>
            </w:r>
          </w:p>
          <w:p w:rsidR="00E221D1" w:rsidRDefault="00D1261A">
            <w:pPr>
              <w:ind w:hanging="2"/>
              <w:jc w:val="both"/>
            </w:pPr>
            <w:proofErr w:type="spellStart"/>
            <w:r>
              <w:t>Садржај</w:t>
            </w:r>
            <w:proofErr w:type="spellEnd"/>
            <w:r>
              <w:t xml:space="preserve"> </w:t>
            </w:r>
            <w:proofErr w:type="spellStart"/>
            <w:r>
              <w:rPr>
                <w:i/>
              </w:rPr>
              <w:t>Педагошке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праксе</w:t>
            </w:r>
            <w:proofErr w:type="spellEnd"/>
            <w:r>
              <w:rPr>
                <w:i/>
              </w:rPr>
              <w:t xml:space="preserve"> 1</w:t>
            </w:r>
            <w:r>
              <w:t xml:space="preserve"> </w:t>
            </w:r>
            <w:proofErr w:type="spellStart"/>
            <w:r>
              <w:t>такође</w:t>
            </w:r>
            <w:proofErr w:type="spellEnd"/>
            <w:r>
              <w:t xml:space="preserve"> </w:t>
            </w:r>
            <w:proofErr w:type="spellStart"/>
            <w:r>
              <w:t>обухвата</w:t>
            </w:r>
            <w:proofErr w:type="spellEnd"/>
            <w:r>
              <w:t xml:space="preserve"> </w:t>
            </w:r>
            <w:proofErr w:type="spellStart"/>
            <w:r>
              <w:t>упознавање</w:t>
            </w:r>
            <w:proofErr w:type="spellEnd"/>
            <w:r>
              <w:t xml:space="preserve"> </w:t>
            </w:r>
            <w:proofErr w:type="spellStart"/>
            <w:r>
              <w:t>студената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: </w:t>
            </w:r>
            <w:proofErr w:type="spellStart"/>
            <w:r>
              <w:t>целокупним</w:t>
            </w:r>
            <w:proofErr w:type="spellEnd"/>
            <w:r>
              <w:t xml:space="preserve"> </w:t>
            </w:r>
            <w:proofErr w:type="spellStart"/>
            <w:r>
              <w:t>радом</w:t>
            </w:r>
            <w:proofErr w:type="spellEnd"/>
            <w:r>
              <w:t xml:space="preserve"> и </w:t>
            </w:r>
            <w:proofErr w:type="spellStart"/>
            <w:r>
              <w:t>организацијом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; </w:t>
            </w:r>
            <w:proofErr w:type="spellStart"/>
            <w:r>
              <w:t>стандардима</w:t>
            </w:r>
            <w:proofErr w:type="spellEnd"/>
            <w:r>
              <w:t xml:space="preserve"> </w:t>
            </w:r>
            <w:proofErr w:type="spellStart"/>
            <w:r>
              <w:t>квалитета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 </w:t>
            </w:r>
            <w:proofErr w:type="spellStart"/>
            <w:r>
              <w:t>установе</w:t>
            </w:r>
            <w:proofErr w:type="spellEnd"/>
            <w:r>
              <w:t xml:space="preserve"> и </w:t>
            </w:r>
            <w:proofErr w:type="spellStart"/>
            <w:r>
              <w:t>свим</w:t>
            </w:r>
            <w:proofErr w:type="spellEnd"/>
            <w:r>
              <w:t xml:space="preserve"> </w:t>
            </w:r>
            <w:proofErr w:type="spellStart"/>
            <w:r>
              <w:t>аспектима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; </w:t>
            </w:r>
            <w:proofErr w:type="spellStart"/>
            <w:r>
              <w:t>школским</w:t>
            </w:r>
            <w:proofErr w:type="spellEnd"/>
            <w:r>
              <w:t xml:space="preserve"> </w:t>
            </w:r>
            <w:proofErr w:type="spellStart"/>
            <w:r>
              <w:t>планом</w:t>
            </w:r>
            <w:proofErr w:type="spellEnd"/>
            <w:r>
              <w:t xml:space="preserve"> и </w:t>
            </w:r>
            <w:proofErr w:type="spellStart"/>
            <w:r>
              <w:t>програмом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основним</w:t>
            </w:r>
            <w:proofErr w:type="spellEnd"/>
            <w:r>
              <w:t xml:space="preserve"> </w:t>
            </w:r>
            <w:proofErr w:type="spellStart"/>
            <w:r>
              <w:t>школским</w:t>
            </w:r>
            <w:proofErr w:type="spellEnd"/>
            <w:r>
              <w:t xml:space="preserve"> </w:t>
            </w:r>
            <w:proofErr w:type="spellStart"/>
            <w:r>
              <w:t>документима</w:t>
            </w:r>
            <w:proofErr w:type="spellEnd"/>
            <w:r>
              <w:t xml:space="preserve">; </w:t>
            </w:r>
            <w:proofErr w:type="spellStart"/>
            <w:r>
              <w:t>распоредом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; </w:t>
            </w:r>
            <w:proofErr w:type="spellStart"/>
            <w:r>
              <w:t>евалуационом</w:t>
            </w:r>
            <w:proofErr w:type="spellEnd"/>
            <w:r>
              <w:t xml:space="preserve"> </w:t>
            </w:r>
            <w:proofErr w:type="spellStart"/>
            <w:r>
              <w:t>евиденцијом</w:t>
            </w:r>
            <w:proofErr w:type="spellEnd"/>
            <w:r>
              <w:t xml:space="preserve">; </w:t>
            </w:r>
            <w:proofErr w:type="spellStart"/>
            <w:r>
              <w:t>уџбеницима</w:t>
            </w:r>
            <w:proofErr w:type="spellEnd"/>
            <w:r>
              <w:t xml:space="preserve"> и </w:t>
            </w:r>
            <w:proofErr w:type="spellStart"/>
            <w:r>
              <w:t>стручном</w:t>
            </w:r>
            <w:proofErr w:type="spellEnd"/>
            <w:r>
              <w:t xml:space="preserve"> </w:t>
            </w:r>
            <w:proofErr w:type="spellStart"/>
            <w:r>
              <w:t>литературом</w:t>
            </w:r>
            <w:proofErr w:type="spellEnd"/>
            <w:r>
              <w:t xml:space="preserve">; </w:t>
            </w:r>
            <w:proofErr w:type="spellStart"/>
            <w:r>
              <w:t>садржајима</w:t>
            </w:r>
            <w:proofErr w:type="spellEnd"/>
            <w:r>
              <w:t xml:space="preserve">, </w:t>
            </w:r>
            <w:proofErr w:type="spellStart"/>
            <w:r>
              <w:t>начинима</w:t>
            </w:r>
            <w:proofErr w:type="spellEnd"/>
            <w:r>
              <w:t xml:space="preserve"> и </w:t>
            </w:r>
            <w:proofErr w:type="spellStart"/>
            <w:r>
              <w:t>облицима</w:t>
            </w:r>
            <w:proofErr w:type="spellEnd"/>
            <w:r>
              <w:t xml:space="preserve"> </w:t>
            </w:r>
            <w:proofErr w:type="spellStart"/>
            <w:r>
              <w:t>реализације</w:t>
            </w:r>
            <w:proofErr w:type="spellEnd"/>
            <w:r>
              <w:t xml:space="preserve"> </w:t>
            </w:r>
            <w:proofErr w:type="spellStart"/>
            <w:r>
              <w:t>програмских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; </w:t>
            </w:r>
            <w:proofErr w:type="spellStart"/>
            <w:r>
              <w:t>облицима</w:t>
            </w:r>
            <w:proofErr w:type="spellEnd"/>
            <w:r>
              <w:t xml:space="preserve"> </w:t>
            </w:r>
            <w:proofErr w:type="spellStart"/>
            <w:r>
              <w:t>стручног</w:t>
            </w:r>
            <w:proofErr w:type="spellEnd"/>
            <w:r>
              <w:t xml:space="preserve"> </w:t>
            </w:r>
            <w:proofErr w:type="spellStart"/>
            <w:r>
              <w:t>усавршавања</w:t>
            </w:r>
            <w:proofErr w:type="spellEnd"/>
            <w:r>
              <w:t xml:space="preserve"> </w:t>
            </w:r>
            <w:proofErr w:type="spellStart"/>
            <w:r>
              <w:t>наставника</w:t>
            </w:r>
            <w:proofErr w:type="spellEnd"/>
            <w:r>
              <w:t xml:space="preserve"> и </w:t>
            </w:r>
            <w:proofErr w:type="spellStart"/>
            <w:r>
              <w:t>др</w:t>
            </w:r>
            <w:proofErr w:type="spellEnd"/>
            <w:r>
              <w:t>.</w:t>
            </w:r>
          </w:p>
          <w:p w:rsidR="00E221D1" w:rsidRDefault="00D1261A">
            <w:pPr>
              <w:tabs>
                <w:tab w:val="left" w:pos="567"/>
              </w:tabs>
              <w:ind w:hanging="2"/>
              <w:jc w:val="both"/>
            </w:pPr>
            <w:proofErr w:type="spellStart"/>
            <w:r>
              <w:t>Током</w:t>
            </w:r>
            <w:proofErr w:type="spellEnd"/>
            <w:r>
              <w:t xml:space="preserve"> </w:t>
            </w:r>
            <w:proofErr w:type="spellStart"/>
            <w:r>
              <w:t>реализације</w:t>
            </w:r>
            <w:proofErr w:type="spellEnd"/>
            <w:r>
              <w:t xml:space="preserve"> </w:t>
            </w:r>
            <w:proofErr w:type="spellStart"/>
            <w:r>
              <w:t>педагошке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  <w:r>
              <w:t xml:space="preserve"> </w:t>
            </w:r>
            <w:proofErr w:type="spellStart"/>
            <w:r>
              <w:t>студент</w:t>
            </w:r>
            <w:proofErr w:type="spellEnd"/>
            <w:r>
              <w:t xml:space="preserve"> </w:t>
            </w:r>
            <w:proofErr w:type="spellStart"/>
            <w:r>
              <w:t>води</w:t>
            </w:r>
            <w:proofErr w:type="spellEnd"/>
            <w:r>
              <w:t xml:space="preserve"> </w:t>
            </w:r>
            <w:proofErr w:type="spellStart"/>
            <w:r>
              <w:t>дневник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  <w:r>
              <w:t xml:space="preserve"> у </w:t>
            </w:r>
            <w:proofErr w:type="spellStart"/>
            <w:r>
              <w:t>коме</w:t>
            </w:r>
            <w:proofErr w:type="spellEnd"/>
            <w:r>
              <w:t xml:space="preserve"> </w:t>
            </w:r>
            <w:proofErr w:type="spellStart"/>
            <w:r>
              <w:t>евидентира</w:t>
            </w:r>
            <w:proofErr w:type="spellEnd"/>
            <w:r>
              <w:t xml:space="preserve"> </w:t>
            </w:r>
            <w:proofErr w:type="spellStart"/>
            <w:r>
              <w:t>сва</w:t>
            </w:r>
            <w:proofErr w:type="spellEnd"/>
            <w:r>
              <w:t xml:space="preserve"> </w:t>
            </w:r>
            <w:proofErr w:type="spellStart"/>
            <w:r>
              <w:t>запажања</w:t>
            </w:r>
            <w:proofErr w:type="spellEnd"/>
            <w:r>
              <w:t xml:space="preserve"> и </w:t>
            </w:r>
            <w:proofErr w:type="spellStart"/>
            <w:r>
              <w:t>пише</w:t>
            </w:r>
            <w:proofErr w:type="spellEnd"/>
            <w:r>
              <w:t xml:space="preserve"> </w:t>
            </w:r>
            <w:proofErr w:type="spellStart"/>
            <w:r>
              <w:t>извештај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има</w:t>
            </w:r>
            <w:proofErr w:type="spellEnd"/>
            <w:r>
              <w:t xml:space="preserve"> </w:t>
            </w:r>
            <w:proofErr w:type="spellStart"/>
            <w:r>
              <w:t>фунцкију</w:t>
            </w:r>
            <w:proofErr w:type="spellEnd"/>
            <w:r>
              <w:t xml:space="preserve"> </w:t>
            </w:r>
            <w:proofErr w:type="spellStart"/>
            <w:r>
              <w:t>портфолија</w:t>
            </w:r>
            <w:proofErr w:type="spellEnd"/>
            <w:r>
              <w:t xml:space="preserve"> </w:t>
            </w:r>
            <w:proofErr w:type="spellStart"/>
            <w:r>
              <w:t>студента</w:t>
            </w:r>
            <w:proofErr w:type="spellEnd"/>
            <w:r>
              <w:t>.</w:t>
            </w:r>
          </w:p>
        </w:tc>
      </w:tr>
      <w:tr w:rsidR="00E221D1" w:rsidTr="007262F5">
        <w:trPr>
          <w:trHeight w:val="227"/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активне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Теоријска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настава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Практична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Укупно</w:t>
            </w:r>
            <w:proofErr w:type="spellEnd"/>
            <w:r>
              <w:t xml:space="preserve"> 90  </w:t>
            </w:r>
            <w:proofErr w:type="spellStart"/>
            <w:r>
              <w:t>часова</w:t>
            </w:r>
            <w:proofErr w:type="spellEnd"/>
          </w:p>
        </w:tc>
      </w:tr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Методе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извођења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  <w:p w:rsidR="00E221D1" w:rsidRDefault="00D1261A">
            <w:pPr>
              <w:tabs>
                <w:tab w:val="left" w:pos="567"/>
              </w:tabs>
              <w:ind w:hanging="2"/>
              <w:jc w:val="both"/>
            </w:pPr>
            <w:proofErr w:type="spellStart"/>
            <w:r>
              <w:t>Хоспитовање</w:t>
            </w:r>
            <w:proofErr w:type="spellEnd"/>
            <w:r>
              <w:t xml:space="preserve"> </w:t>
            </w:r>
            <w:proofErr w:type="spellStart"/>
            <w:r>
              <w:t>студената</w:t>
            </w:r>
            <w:proofErr w:type="spellEnd"/>
            <w:r>
              <w:t xml:space="preserve">, </w:t>
            </w:r>
            <w:proofErr w:type="spellStart"/>
            <w:r>
              <w:t>консултације</w:t>
            </w:r>
            <w:proofErr w:type="spellEnd"/>
            <w:r>
              <w:t xml:space="preserve"> (</w:t>
            </w:r>
            <w:proofErr w:type="spellStart"/>
            <w:r>
              <w:t>инструктажа</w:t>
            </w:r>
            <w:proofErr w:type="spellEnd"/>
            <w:r>
              <w:t xml:space="preserve">), </w:t>
            </w:r>
            <w:proofErr w:type="spellStart"/>
            <w:r>
              <w:t>самостални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студената</w:t>
            </w:r>
            <w:proofErr w:type="spellEnd"/>
            <w:r>
              <w:t xml:space="preserve">, </w:t>
            </w: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документације</w:t>
            </w:r>
            <w:proofErr w:type="spellEnd"/>
            <w:r>
              <w:t xml:space="preserve">, </w:t>
            </w:r>
            <w:proofErr w:type="spellStart"/>
            <w:r>
              <w:t>вођење</w:t>
            </w:r>
            <w:proofErr w:type="spellEnd"/>
            <w:r>
              <w:t xml:space="preserve"> </w:t>
            </w:r>
            <w:proofErr w:type="spellStart"/>
            <w:r>
              <w:t>дневника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  <w:r>
              <w:t xml:space="preserve">, </w:t>
            </w:r>
            <w:proofErr w:type="spellStart"/>
            <w:r>
              <w:t>усмени</w:t>
            </w:r>
            <w:proofErr w:type="spellEnd"/>
            <w:r>
              <w:t xml:space="preserve"> </w:t>
            </w:r>
            <w:proofErr w:type="spellStart"/>
            <w:r>
              <w:t>извештај</w:t>
            </w:r>
            <w:proofErr w:type="spellEnd"/>
            <w:r>
              <w:t xml:space="preserve"> о </w:t>
            </w:r>
            <w:proofErr w:type="spellStart"/>
            <w:r>
              <w:t>пракси</w:t>
            </w:r>
            <w:proofErr w:type="spellEnd"/>
            <w:r>
              <w:t xml:space="preserve">, </w:t>
            </w: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писаних</w:t>
            </w:r>
            <w:proofErr w:type="spellEnd"/>
            <w:r>
              <w:t xml:space="preserve"> </w:t>
            </w:r>
            <w:proofErr w:type="spellStart"/>
            <w:r>
              <w:t>извештаја</w:t>
            </w:r>
            <w:proofErr w:type="spellEnd"/>
            <w:r>
              <w:t>.</w:t>
            </w:r>
          </w:p>
        </w:tc>
      </w:tr>
      <w:tr w:rsidR="00E221D1" w:rsidTr="007262F5">
        <w:trPr>
          <w:trHeight w:val="227"/>
          <w:jc w:val="center"/>
        </w:trPr>
        <w:tc>
          <w:tcPr>
            <w:tcW w:w="9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Оцена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знања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максимални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поена</w:t>
            </w:r>
            <w:proofErr w:type="spellEnd"/>
            <w:r>
              <w:rPr>
                <w:b/>
              </w:rPr>
              <w:t xml:space="preserve"> 100)</w:t>
            </w:r>
          </w:p>
          <w:p w:rsidR="00E221D1" w:rsidRDefault="00D1261A">
            <w:pPr>
              <w:ind w:hanging="2"/>
              <w:jc w:val="both"/>
            </w:pPr>
            <w:proofErr w:type="spellStart"/>
            <w:r>
              <w:t>Студент</w:t>
            </w:r>
            <w:proofErr w:type="spellEnd"/>
            <w:r>
              <w:t xml:space="preserve"> </w:t>
            </w:r>
            <w:proofErr w:type="spellStart"/>
            <w:r>
              <w:t>након</w:t>
            </w:r>
            <w:proofErr w:type="spellEnd"/>
            <w:r>
              <w:t xml:space="preserve"> </w:t>
            </w:r>
            <w:proofErr w:type="spellStart"/>
            <w:r>
              <w:t>обављене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  <w:r>
              <w:t xml:space="preserve"> </w:t>
            </w:r>
            <w:proofErr w:type="spellStart"/>
            <w:r>
              <w:t>предаје</w:t>
            </w:r>
            <w:proofErr w:type="spellEnd"/>
            <w:r>
              <w:t xml:space="preserve"> </w:t>
            </w:r>
            <w:proofErr w:type="spellStart"/>
            <w:r>
              <w:t>дневник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  <w:r>
              <w:t xml:space="preserve"> </w:t>
            </w:r>
            <w:proofErr w:type="spellStart"/>
            <w:r>
              <w:t>уз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прилаже</w:t>
            </w:r>
            <w:proofErr w:type="spellEnd"/>
            <w:r>
              <w:t xml:space="preserve"> </w:t>
            </w:r>
            <w:proofErr w:type="spellStart"/>
            <w:r>
              <w:t>потврду</w:t>
            </w:r>
            <w:proofErr w:type="spellEnd"/>
            <w:r>
              <w:t xml:space="preserve"> о </w:t>
            </w:r>
            <w:proofErr w:type="spellStart"/>
            <w:r>
              <w:t>обављеној</w:t>
            </w:r>
            <w:proofErr w:type="spellEnd"/>
            <w:r>
              <w:t xml:space="preserve"> </w:t>
            </w:r>
            <w:proofErr w:type="spellStart"/>
            <w:r>
              <w:t>пракси</w:t>
            </w:r>
            <w:proofErr w:type="spellEnd"/>
            <w:r>
              <w:t xml:space="preserve"> </w:t>
            </w:r>
            <w:proofErr w:type="spellStart"/>
            <w:r>
              <w:t>коју</w:t>
            </w:r>
            <w:proofErr w:type="spellEnd"/>
            <w:r>
              <w:t xml:space="preserve"> </w:t>
            </w:r>
            <w:proofErr w:type="spellStart"/>
            <w:r>
              <w:t>потписује</w:t>
            </w:r>
            <w:proofErr w:type="spellEnd"/>
            <w:r>
              <w:t xml:space="preserve"> </w:t>
            </w:r>
            <w:proofErr w:type="spellStart"/>
            <w:r>
              <w:t>стручни</w:t>
            </w:r>
            <w:proofErr w:type="spellEnd"/>
            <w:r>
              <w:t xml:space="preserve"> </w:t>
            </w:r>
            <w:proofErr w:type="spellStart"/>
            <w:r>
              <w:t>сарадник</w:t>
            </w:r>
            <w:proofErr w:type="spellEnd"/>
            <w:r>
              <w:t xml:space="preserve"> </w:t>
            </w:r>
            <w:proofErr w:type="spellStart"/>
            <w:r>
              <w:t>педагог</w:t>
            </w:r>
            <w:proofErr w:type="spellEnd"/>
            <w:r>
              <w:t xml:space="preserve"> и </w:t>
            </w:r>
            <w:proofErr w:type="spellStart"/>
            <w:r>
              <w:t>директор</w:t>
            </w:r>
            <w:proofErr w:type="spellEnd"/>
            <w:r>
              <w:t xml:space="preserve"> </w:t>
            </w:r>
            <w:proofErr w:type="spellStart"/>
            <w:r>
              <w:t>школе</w:t>
            </w:r>
            <w:proofErr w:type="spellEnd"/>
            <w:r>
              <w:t xml:space="preserve"> </w:t>
            </w:r>
            <w:proofErr w:type="gramStart"/>
            <w:r>
              <w:t xml:space="preserve">у  </w:t>
            </w:r>
            <w:proofErr w:type="spellStart"/>
            <w:r>
              <w:t>којој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студент</w:t>
            </w:r>
            <w:proofErr w:type="spellEnd"/>
            <w:r>
              <w:t xml:space="preserve"> </w:t>
            </w:r>
            <w:proofErr w:type="spellStart"/>
            <w:r>
              <w:t>обавио</w:t>
            </w:r>
            <w:proofErr w:type="spellEnd"/>
            <w:r>
              <w:t xml:space="preserve"> </w:t>
            </w:r>
            <w:proofErr w:type="spellStart"/>
            <w:r>
              <w:t>праксу</w:t>
            </w:r>
            <w:proofErr w:type="spellEnd"/>
            <w:r>
              <w:t xml:space="preserve">. </w:t>
            </w:r>
            <w:proofErr w:type="spellStart"/>
            <w:r>
              <w:t>Оцена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изводи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учешћа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консултацијама</w:t>
            </w:r>
            <w:proofErr w:type="spellEnd"/>
            <w:r>
              <w:t xml:space="preserve">, </w:t>
            </w:r>
            <w:proofErr w:type="spellStart"/>
            <w:r>
              <w:t>приложеног</w:t>
            </w:r>
            <w:proofErr w:type="spellEnd"/>
            <w:r>
              <w:t xml:space="preserve"> </w:t>
            </w:r>
            <w:proofErr w:type="spellStart"/>
            <w:r>
              <w:t>дневника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  <w:r>
              <w:t xml:space="preserve"> и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разговора</w:t>
            </w:r>
            <w:proofErr w:type="spellEnd"/>
            <w:r>
              <w:t xml:space="preserve"> о </w:t>
            </w:r>
            <w:proofErr w:type="spellStart"/>
            <w:r>
              <w:t>дневнику</w:t>
            </w:r>
            <w:proofErr w:type="spellEnd"/>
            <w:r>
              <w:t>.</w:t>
            </w:r>
          </w:p>
          <w:p w:rsidR="00E221D1" w:rsidRDefault="00D1261A">
            <w:pPr>
              <w:ind w:hanging="2"/>
              <w:jc w:val="both"/>
            </w:pPr>
            <w:proofErr w:type="spellStart"/>
            <w:r>
              <w:t>Учешће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консултацијама</w:t>
            </w:r>
            <w:proofErr w:type="spellEnd"/>
            <w:r>
              <w:t xml:space="preserve"> – 20 </w:t>
            </w:r>
            <w:proofErr w:type="spellStart"/>
            <w:r>
              <w:t>поена</w:t>
            </w:r>
            <w:proofErr w:type="spellEnd"/>
            <w:r>
              <w:t xml:space="preserve">; </w:t>
            </w:r>
            <w:proofErr w:type="spellStart"/>
            <w:r>
              <w:t>Обављена</w:t>
            </w:r>
            <w:proofErr w:type="spellEnd"/>
            <w:r>
              <w:t xml:space="preserve"> </w:t>
            </w:r>
            <w:proofErr w:type="spellStart"/>
            <w:r>
              <w:t>пракса</w:t>
            </w:r>
            <w:proofErr w:type="spellEnd"/>
            <w:r>
              <w:t xml:space="preserve"> у </w:t>
            </w:r>
            <w:proofErr w:type="spellStart"/>
            <w:r>
              <w:t>установи</w:t>
            </w:r>
            <w:proofErr w:type="spellEnd"/>
            <w:r>
              <w:t xml:space="preserve"> – 40 </w:t>
            </w:r>
            <w:proofErr w:type="spellStart"/>
            <w:r>
              <w:t>поена</w:t>
            </w:r>
            <w:proofErr w:type="spellEnd"/>
            <w:r>
              <w:t xml:space="preserve">; </w:t>
            </w:r>
            <w:proofErr w:type="spellStart"/>
            <w:r>
              <w:t>Израда</w:t>
            </w:r>
            <w:proofErr w:type="spellEnd"/>
            <w:r>
              <w:t xml:space="preserve"> </w:t>
            </w:r>
            <w:proofErr w:type="spellStart"/>
            <w:r>
              <w:t>дневника</w:t>
            </w:r>
            <w:proofErr w:type="spellEnd"/>
            <w:r>
              <w:t xml:space="preserve"> – 40 </w:t>
            </w:r>
            <w:proofErr w:type="spellStart"/>
            <w:r>
              <w:t>поена</w:t>
            </w:r>
            <w:proofErr w:type="spellEnd"/>
            <w:r>
              <w:t>.</w:t>
            </w:r>
          </w:p>
        </w:tc>
      </w:tr>
      <w:tr w:rsidR="00E221D1" w:rsidTr="007262F5">
        <w:trPr>
          <w:trHeight w:val="227"/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Предиспитне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обавезе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t>поена</w:t>
            </w:r>
            <w:proofErr w:type="spellEnd"/>
          </w:p>
          <w:p w:rsidR="00E221D1" w:rsidRDefault="00E221D1">
            <w:pPr>
              <w:tabs>
                <w:tab w:val="left" w:pos="567"/>
              </w:tabs>
              <w:ind w:hanging="2"/>
            </w:pPr>
          </w:p>
        </w:tc>
        <w:tc>
          <w:tcPr>
            <w:tcW w:w="3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rPr>
                <w:b/>
              </w:rPr>
              <w:t>Завршни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испит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t>поена</w:t>
            </w:r>
            <w:proofErr w:type="spellEnd"/>
          </w:p>
        </w:tc>
      </w:tr>
      <w:tr w:rsidR="00E221D1" w:rsidTr="007262F5">
        <w:trPr>
          <w:trHeight w:val="227"/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t>Консултативни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r>
              <w:t>20</w:t>
            </w:r>
          </w:p>
        </w:tc>
        <w:tc>
          <w:tcPr>
            <w:tcW w:w="3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t>Дневник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  <w:r>
              <w:t xml:space="preserve">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r>
              <w:t>40</w:t>
            </w:r>
          </w:p>
        </w:tc>
      </w:tr>
      <w:tr w:rsidR="00E221D1" w:rsidTr="007262F5">
        <w:trPr>
          <w:trHeight w:val="227"/>
          <w:jc w:val="center"/>
        </w:trPr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proofErr w:type="spellStart"/>
            <w:r>
              <w:t>Реализација</w:t>
            </w:r>
            <w:proofErr w:type="spellEnd"/>
            <w:r>
              <w:t xml:space="preserve"> </w:t>
            </w:r>
            <w:proofErr w:type="spellStart"/>
            <w:r>
              <w:t>праксе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D1261A">
            <w:pPr>
              <w:tabs>
                <w:tab w:val="left" w:pos="567"/>
              </w:tabs>
              <w:ind w:hanging="2"/>
            </w:pPr>
            <w:r>
              <w:t>40</w:t>
            </w:r>
          </w:p>
        </w:tc>
        <w:tc>
          <w:tcPr>
            <w:tcW w:w="3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1D1" w:rsidRDefault="00E221D1">
            <w:pPr>
              <w:tabs>
                <w:tab w:val="left" w:pos="567"/>
              </w:tabs>
              <w:ind w:hanging="2"/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1D1" w:rsidRDefault="00E221D1">
            <w:pPr>
              <w:tabs>
                <w:tab w:val="left" w:pos="567"/>
              </w:tabs>
              <w:ind w:hanging="2"/>
            </w:pPr>
          </w:p>
        </w:tc>
      </w:tr>
    </w:tbl>
    <w:p w:rsidR="00E221D1" w:rsidRDefault="00E221D1"/>
    <w:p w:rsidR="00E221D1" w:rsidRDefault="00E221D1">
      <w:pPr>
        <w:pStyle w:val="LO-normal"/>
      </w:pPr>
    </w:p>
    <w:sectPr w:rsidR="00E221D1">
      <w:headerReference w:type="default" r:id="rId8"/>
      <w:footerReference w:type="default" r:id="rId9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359" w:rsidRDefault="00E12359">
      <w:r>
        <w:separator/>
      </w:r>
    </w:p>
  </w:endnote>
  <w:endnote w:type="continuationSeparator" w:id="0">
    <w:p w:rsidR="00E12359" w:rsidRDefault="00E1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1D1" w:rsidRDefault="00D1261A">
    <w:pPr>
      <w:pStyle w:val="LO-normal"/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359" w:rsidRDefault="00E12359">
      <w:r>
        <w:separator/>
      </w:r>
    </w:p>
  </w:footnote>
  <w:footnote w:type="continuationSeparator" w:id="0">
    <w:p w:rsidR="00E12359" w:rsidRDefault="00E12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1D1" w:rsidRDefault="00D1261A">
    <w:pPr>
      <w:pStyle w:val="LO-normal"/>
      <w:tabs>
        <w:tab w:val="center" w:pos="4320"/>
        <w:tab w:val="right" w:pos="8640"/>
      </w:tabs>
      <w:rPr>
        <w:color w:val="000000"/>
      </w:rPr>
    </w:pPr>
    <w:r>
      <w:rPr>
        <w:noProof/>
      </w:rPr>
      <w:drawing>
        <wp:anchor distT="0" distB="0" distL="0" distR="0" simplePos="0" relativeHeight="3" behindDoc="1" locked="0" layoutInCell="1" allowOverlap="1">
          <wp:simplePos x="0" y="0"/>
          <wp:positionH relativeFrom="column">
            <wp:posOffset>5217795</wp:posOffset>
          </wp:positionH>
          <wp:positionV relativeFrom="paragraph">
            <wp:posOffset>147955</wp:posOffset>
          </wp:positionV>
          <wp:extent cx="791210" cy="810260"/>
          <wp:effectExtent l="0" t="0" r="0" b="0"/>
          <wp:wrapNone/>
          <wp:docPr id="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810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511"/>
      <w:gridCol w:w="6592"/>
      <w:gridCol w:w="1555"/>
    </w:tblGrid>
    <w:tr w:rsidR="00E221D1">
      <w:trPr>
        <w:trHeight w:val="360"/>
        <w:jc w:val="center"/>
      </w:trPr>
      <w:tc>
        <w:tcPr>
          <w:tcW w:w="151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221D1" w:rsidRDefault="00D1261A">
          <w:pPr>
            <w:pStyle w:val="LO-normal"/>
            <w:tabs>
              <w:tab w:val="center" w:pos="4320"/>
              <w:tab w:val="right" w:pos="8640"/>
            </w:tabs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42545</wp:posOffset>
                </wp:positionV>
                <wp:extent cx="781685" cy="800735"/>
                <wp:effectExtent l="0" t="0" r="0" b="0"/>
                <wp:wrapNone/>
                <wp:docPr id="2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685" cy="800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E221D1" w:rsidRDefault="00D1261A">
          <w:pPr>
            <w:pStyle w:val="LO-normal"/>
            <w:tabs>
              <w:tab w:val="center" w:pos="4320"/>
              <w:tab w:val="right" w:pos="8640"/>
            </w:tabs>
            <w:jc w:val="center"/>
          </w:pPr>
          <w:proofErr w:type="spellStart"/>
          <w:r>
            <w:rPr>
              <w:color w:val="333399"/>
              <w:sz w:val="22"/>
              <w:szCs w:val="22"/>
            </w:rPr>
            <w:t>Универзитет</w:t>
          </w:r>
          <w:proofErr w:type="spellEnd"/>
          <w:r>
            <w:rPr>
              <w:color w:val="333399"/>
              <w:sz w:val="22"/>
              <w:szCs w:val="22"/>
            </w:rPr>
            <w:t xml:space="preserve"> у </w:t>
          </w:r>
          <w:proofErr w:type="spellStart"/>
          <w:r>
            <w:rPr>
              <w:color w:val="333399"/>
              <w:sz w:val="22"/>
              <w:szCs w:val="22"/>
            </w:rPr>
            <w:t>Нишу</w:t>
          </w:r>
          <w:proofErr w:type="spellEnd"/>
          <w:r>
            <w:rPr>
              <w:color w:val="333399"/>
              <w:sz w:val="22"/>
              <w:szCs w:val="22"/>
            </w:rPr>
            <w:t xml:space="preserve"> </w:t>
          </w:r>
        </w:p>
        <w:p w:rsidR="00E221D1" w:rsidRDefault="00D1261A">
          <w:pPr>
            <w:pStyle w:val="LO-normal"/>
            <w:tabs>
              <w:tab w:val="center" w:pos="4320"/>
              <w:tab w:val="right" w:pos="8640"/>
            </w:tabs>
            <w:jc w:val="center"/>
          </w:pPr>
          <w:proofErr w:type="spellStart"/>
          <w:r>
            <w:rPr>
              <w:color w:val="333399"/>
              <w:sz w:val="22"/>
              <w:szCs w:val="22"/>
            </w:rPr>
            <w:t>Филозофски</w:t>
          </w:r>
          <w:proofErr w:type="spellEnd"/>
          <w:r>
            <w:rPr>
              <w:color w:val="333399"/>
              <w:sz w:val="22"/>
              <w:szCs w:val="22"/>
            </w:rPr>
            <w:t xml:space="preserve"> </w:t>
          </w:r>
          <w:proofErr w:type="spellStart"/>
          <w:r>
            <w:rPr>
              <w:color w:val="333399"/>
              <w:sz w:val="22"/>
              <w:szCs w:val="22"/>
            </w:rPr>
            <w:t>факултет</w:t>
          </w:r>
          <w:proofErr w:type="spellEnd"/>
        </w:p>
      </w:tc>
      <w:tc>
        <w:tcPr>
          <w:tcW w:w="155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221D1" w:rsidRDefault="00E221D1">
          <w:pPr>
            <w:pStyle w:val="LO-normal"/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</w:p>
      </w:tc>
    </w:tr>
    <w:tr w:rsidR="00E221D1">
      <w:trPr>
        <w:trHeight w:val="460"/>
        <w:jc w:val="center"/>
      </w:trPr>
      <w:tc>
        <w:tcPr>
          <w:tcW w:w="151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221D1" w:rsidRDefault="00E221D1">
          <w:pPr>
            <w:pStyle w:val="LO-normal"/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E221D1" w:rsidRDefault="00D1261A">
          <w:pPr>
            <w:pStyle w:val="LO-normal"/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proofErr w:type="spellStart"/>
          <w:r>
            <w:rPr>
              <w:color w:val="333399"/>
              <w:sz w:val="22"/>
              <w:szCs w:val="22"/>
            </w:rPr>
            <w:t>Акредитација</w:t>
          </w:r>
          <w:proofErr w:type="spellEnd"/>
          <w:r>
            <w:rPr>
              <w:color w:val="333399"/>
              <w:sz w:val="22"/>
              <w:szCs w:val="22"/>
            </w:rPr>
            <w:t xml:space="preserve"> </w:t>
          </w:r>
          <w:proofErr w:type="spellStart"/>
          <w:r>
            <w:rPr>
              <w:color w:val="333399"/>
              <w:sz w:val="22"/>
              <w:szCs w:val="22"/>
            </w:rPr>
            <w:t>студијског</w:t>
          </w:r>
          <w:proofErr w:type="spellEnd"/>
          <w:r>
            <w:rPr>
              <w:color w:val="333399"/>
              <w:sz w:val="22"/>
              <w:szCs w:val="22"/>
            </w:rPr>
            <w:t xml:space="preserve"> </w:t>
          </w:r>
          <w:proofErr w:type="spellStart"/>
          <w:r>
            <w:rPr>
              <w:color w:val="333399"/>
              <w:sz w:val="22"/>
              <w:szCs w:val="22"/>
            </w:rPr>
            <w:t>програма</w:t>
          </w:r>
          <w:proofErr w:type="spellEnd"/>
        </w:p>
      </w:tc>
      <w:tc>
        <w:tcPr>
          <w:tcW w:w="155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221D1" w:rsidRDefault="00E221D1">
          <w:pPr>
            <w:pStyle w:val="LO-normal"/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</w:tr>
    <w:tr w:rsidR="00E221D1">
      <w:trPr>
        <w:trHeight w:val="485"/>
        <w:jc w:val="center"/>
      </w:trPr>
      <w:tc>
        <w:tcPr>
          <w:tcW w:w="151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221D1" w:rsidRDefault="00E221D1">
          <w:pPr>
            <w:pStyle w:val="LO-normal"/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  <w:tc>
        <w:tcPr>
          <w:tcW w:w="65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E221D1" w:rsidRDefault="007262F5">
          <w:pPr>
            <w:tabs>
              <w:tab w:val="center" w:pos="4320"/>
              <w:tab w:val="right" w:pos="8640"/>
            </w:tabs>
            <w:jc w:val="center"/>
          </w:pPr>
          <w:r>
            <w:rPr>
              <w:b/>
              <w:color w:val="333399"/>
              <w:sz w:val="24"/>
              <w:szCs w:val="24"/>
              <w:lang w:val="sr-Cyrl-RS"/>
            </w:rPr>
            <w:t>Мастер</w:t>
          </w:r>
          <w:r w:rsidR="00D1261A"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 w:rsidR="00D1261A">
            <w:rPr>
              <w:b/>
              <w:color w:val="333399"/>
              <w:sz w:val="24"/>
              <w:szCs w:val="24"/>
            </w:rPr>
            <w:t>академске</w:t>
          </w:r>
          <w:proofErr w:type="spellEnd"/>
          <w:r w:rsidR="00D1261A"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 w:rsidR="00D1261A">
            <w:rPr>
              <w:b/>
              <w:color w:val="333399"/>
              <w:sz w:val="24"/>
              <w:szCs w:val="24"/>
            </w:rPr>
            <w:t>студије</w:t>
          </w:r>
          <w:proofErr w:type="spellEnd"/>
          <w:r w:rsidR="00D1261A"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 w:rsidR="00D1261A">
            <w:rPr>
              <w:b/>
              <w:color w:val="333399"/>
              <w:sz w:val="24"/>
              <w:szCs w:val="24"/>
            </w:rPr>
            <w:t>историје</w:t>
          </w:r>
          <w:proofErr w:type="spellEnd"/>
        </w:p>
      </w:tc>
      <w:tc>
        <w:tcPr>
          <w:tcW w:w="155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221D1" w:rsidRDefault="00E221D1">
          <w:pPr>
            <w:pStyle w:val="LO-normal"/>
            <w:spacing w:line="276" w:lineRule="auto"/>
            <w:rPr>
              <w:color w:val="000000"/>
              <w:sz w:val="18"/>
              <w:szCs w:val="18"/>
            </w:rPr>
          </w:pPr>
        </w:p>
      </w:tc>
    </w:tr>
  </w:tbl>
  <w:p w:rsidR="00E221D1" w:rsidRDefault="00D1261A">
    <w:pPr>
      <w:pStyle w:val="LO-normal"/>
      <w:tabs>
        <w:tab w:val="center" w:pos="4320"/>
        <w:tab w:val="right" w:pos="8640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         </w:t>
    </w:r>
  </w:p>
  <w:p w:rsidR="00E221D1" w:rsidRDefault="00E221D1">
    <w:pPr>
      <w:pStyle w:val="LO-normal"/>
      <w:tabs>
        <w:tab w:val="center" w:pos="4320"/>
        <w:tab w:val="right" w:pos="8640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D1"/>
    <w:rsid w:val="00136141"/>
    <w:rsid w:val="007262F5"/>
    <w:rsid w:val="00D1261A"/>
    <w:rsid w:val="00E12359"/>
    <w:rsid w:val="00E2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0AA"/>
    <w:pPr>
      <w:widowControl w:val="0"/>
    </w:pPr>
  </w:style>
  <w:style w:type="paragraph" w:styleId="Heading1">
    <w:name w:val="heading 1"/>
    <w:basedOn w:val="LO-normal"/>
    <w:next w:val="LO-normal"/>
    <w:qFormat/>
    <w:rsid w:val="00F24F0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rsid w:val="00F24F0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rsid w:val="00F24F0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rsid w:val="00F24F0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rsid w:val="00F24F0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rsid w:val="00F24F02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B2D1F"/>
    <w:rPr>
      <w:rFonts w:ascii="Calibri" w:eastAsia="Calibri" w:hAnsi="Calibri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rsid w:val="00F24F02"/>
    <w:pPr>
      <w:widowControl w:val="0"/>
    </w:pPr>
  </w:style>
  <w:style w:type="paragraph" w:styleId="Title">
    <w:name w:val="Title"/>
    <w:basedOn w:val="LO-normal"/>
    <w:next w:val="LO-normal"/>
    <w:qFormat/>
    <w:rsid w:val="00F24F0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F24F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unhideWhenUsed/>
    <w:rsid w:val="00DB2D1F"/>
    <w:pPr>
      <w:widowControl/>
      <w:spacing w:after="200" w:line="276" w:lineRule="auto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  <w:rsid w:val="0038464D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0AA"/>
    <w:pPr>
      <w:widowControl w:val="0"/>
    </w:pPr>
  </w:style>
  <w:style w:type="paragraph" w:styleId="Heading1">
    <w:name w:val="heading 1"/>
    <w:basedOn w:val="LO-normal"/>
    <w:next w:val="LO-normal"/>
    <w:qFormat/>
    <w:rsid w:val="00F24F0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rsid w:val="00F24F0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rsid w:val="00F24F0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rsid w:val="00F24F0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rsid w:val="00F24F0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rsid w:val="00F24F02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B2D1F"/>
    <w:rPr>
      <w:rFonts w:ascii="Calibri" w:eastAsia="Calibri" w:hAnsi="Calibri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rsid w:val="00F24F02"/>
    <w:pPr>
      <w:widowControl w:val="0"/>
    </w:pPr>
  </w:style>
  <w:style w:type="paragraph" w:styleId="Title">
    <w:name w:val="Title"/>
    <w:basedOn w:val="LO-normal"/>
    <w:next w:val="LO-normal"/>
    <w:qFormat/>
    <w:rsid w:val="00F24F0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F24F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unhideWhenUsed/>
    <w:rsid w:val="00DB2D1F"/>
    <w:pPr>
      <w:widowControl/>
      <w:spacing w:after="200" w:line="276" w:lineRule="auto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  <w:rsid w:val="0038464D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1A8A2-495B-4D15-858C-B62E457F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Mangulica</dc:creator>
  <cp:lastModifiedBy>Mangulica</cp:lastModifiedBy>
  <cp:revision>3</cp:revision>
  <dcterms:created xsi:type="dcterms:W3CDTF">2020-10-12T08:48:00Z</dcterms:created>
  <dcterms:modified xsi:type="dcterms:W3CDTF">2020-10-12T08:57:00Z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